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1F22" w14:textId="77777777" w:rsidR="00F02E5E" w:rsidRPr="00F02E5E" w:rsidRDefault="00F02E5E" w:rsidP="00F02E5E">
      <w:pPr>
        <w:spacing w:after="0" w:line="360" w:lineRule="atLeast"/>
        <w:jc w:val="right"/>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highlight w:val="yellow"/>
        </w:rPr>
        <w:t>…</w:t>
      </w:r>
      <w:r w:rsidRPr="00F02E5E">
        <w:rPr>
          <w:rFonts w:asciiTheme="majorHAnsi" w:hAnsiTheme="majorHAnsi" w:cs="Arial"/>
          <w:color w:val="000000" w:themeColor="text1"/>
          <w:sz w:val="24"/>
          <w:szCs w:val="24"/>
        </w:rPr>
        <w:t xml:space="preserve">, dnia </w:t>
      </w:r>
      <w:r w:rsidRPr="00F02E5E">
        <w:rPr>
          <w:rFonts w:asciiTheme="majorHAnsi" w:hAnsiTheme="majorHAnsi" w:cs="Arial"/>
          <w:color w:val="000000" w:themeColor="text1"/>
          <w:sz w:val="24"/>
          <w:szCs w:val="24"/>
          <w:highlight w:val="yellow"/>
        </w:rPr>
        <w:t>…</w:t>
      </w:r>
    </w:p>
    <w:p w14:paraId="59C22588" w14:textId="77777777" w:rsidR="00F02E5E" w:rsidRPr="00F02E5E" w:rsidRDefault="00F02E5E" w:rsidP="00F02E5E">
      <w:pPr>
        <w:spacing w:after="0" w:line="360" w:lineRule="atLeast"/>
        <w:jc w:val="both"/>
        <w:rPr>
          <w:rFonts w:asciiTheme="majorHAnsi" w:hAnsiTheme="majorHAnsi" w:cs="Arial"/>
          <w:color w:val="000000" w:themeColor="text1"/>
          <w:sz w:val="24"/>
          <w:szCs w:val="24"/>
        </w:rPr>
      </w:pPr>
    </w:p>
    <w:p w14:paraId="0826A581" w14:textId="77777777" w:rsidR="00F02E5E" w:rsidRPr="00F02E5E" w:rsidRDefault="00F02E5E" w:rsidP="00F02E5E">
      <w:pPr>
        <w:spacing w:after="0" w:line="360" w:lineRule="atLeast"/>
        <w:jc w:val="both"/>
        <w:rPr>
          <w:rFonts w:asciiTheme="majorHAnsi" w:hAnsiTheme="majorHAnsi" w:cs="Arial"/>
          <w:color w:val="000000" w:themeColor="text1"/>
          <w:sz w:val="24"/>
          <w:szCs w:val="24"/>
        </w:rPr>
      </w:pPr>
    </w:p>
    <w:p w14:paraId="4DA80A33" w14:textId="77777777" w:rsidR="00F02E5E" w:rsidRPr="00F02E5E" w:rsidRDefault="00F02E5E" w:rsidP="00F02E5E">
      <w:pPr>
        <w:spacing w:after="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r>
      <w:bookmarkStart w:id="0" w:name="_GoBack"/>
      <w:bookmarkEnd w:id="0"/>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t>Poczta Polska Spółka Akcyjna</w:t>
      </w:r>
    </w:p>
    <w:p w14:paraId="429C132E" w14:textId="77777777" w:rsidR="00F02E5E" w:rsidRPr="00F02E5E" w:rsidRDefault="00F02E5E" w:rsidP="00F02E5E">
      <w:pPr>
        <w:spacing w:after="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t>Zarząd</w:t>
      </w:r>
    </w:p>
    <w:p w14:paraId="78989E94" w14:textId="77777777" w:rsidR="00F02E5E" w:rsidRPr="00F02E5E" w:rsidRDefault="00F02E5E" w:rsidP="00F02E5E">
      <w:pPr>
        <w:spacing w:after="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t>ul. Rodziny Hiszpańskich 8</w:t>
      </w:r>
    </w:p>
    <w:p w14:paraId="12088FED" w14:textId="77777777" w:rsidR="00F02E5E" w:rsidRPr="00F02E5E" w:rsidRDefault="00F02E5E" w:rsidP="00F02E5E">
      <w:pPr>
        <w:spacing w:after="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t>00-940 Warszawa</w:t>
      </w:r>
    </w:p>
    <w:p w14:paraId="6D8629D2" w14:textId="77777777" w:rsidR="00F02E5E" w:rsidRPr="00F02E5E" w:rsidRDefault="00F02E5E" w:rsidP="00F02E5E">
      <w:pPr>
        <w:spacing w:after="0" w:line="360" w:lineRule="atLeast"/>
        <w:jc w:val="both"/>
        <w:rPr>
          <w:rFonts w:asciiTheme="majorHAnsi" w:hAnsiTheme="majorHAnsi" w:cs="Arial"/>
          <w:color w:val="000000" w:themeColor="text1"/>
          <w:sz w:val="24"/>
          <w:szCs w:val="24"/>
        </w:rPr>
      </w:pPr>
    </w:p>
    <w:p w14:paraId="4EFF5C5E" w14:textId="77777777" w:rsidR="00F02E5E" w:rsidRPr="00F02E5E" w:rsidRDefault="00F02E5E" w:rsidP="00F02E5E">
      <w:pPr>
        <w:spacing w:after="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r w:rsidRPr="00F02E5E">
        <w:rPr>
          <w:rFonts w:asciiTheme="majorHAnsi" w:hAnsiTheme="majorHAnsi" w:cs="Arial"/>
          <w:color w:val="000000" w:themeColor="text1"/>
          <w:sz w:val="24"/>
          <w:szCs w:val="24"/>
        </w:rPr>
        <w:tab/>
      </w:r>
    </w:p>
    <w:p w14:paraId="35875E63" w14:textId="77777777" w:rsidR="00F02E5E" w:rsidRPr="00F02E5E" w:rsidRDefault="00F02E5E" w:rsidP="00F02E5E">
      <w:pPr>
        <w:spacing w:after="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dotyczy:</w:t>
      </w:r>
      <w:r w:rsidRPr="00F02E5E">
        <w:rPr>
          <w:rFonts w:asciiTheme="majorHAnsi" w:hAnsiTheme="majorHAnsi" w:cs="Arial"/>
          <w:color w:val="000000" w:themeColor="text1"/>
          <w:sz w:val="24"/>
          <w:szCs w:val="24"/>
        </w:rPr>
        <w:tab/>
        <w:t xml:space="preserve">pisma z dnia 23 kwietnia 2020 r. nr (PRZ.85.2020) </w:t>
      </w:r>
    </w:p>
    <w:p w14:paraId="253CC672" w14:textId="77777777" w:rsidR="00F02E5E" w:rsidRPr="00F02E5E" w:rsidRDefault="00F02E5E" w:rsidP="00F02E5E">
      <w:pPr>
        <w:spacing w:after="0" w:line="360" w:lineRule="atLeast"/>
        <w:jc w:val="both"/>
        <w:rPr>
          <w:rFonts w:asciiTheme="majorHAnsi" w:hAnsiTheme="majorHAnsi" w:cs="Arial"/>
          <w:color w:val="000000" w:themeColor="text1"/>
          <w:sz w:val="24"/>
          <w:szCs w:val="24"/>
        </w:rPr>
      </w:pPr>
    </w:p>
    <w:p w14:paraId="2795CC05" w14:textId="77777777" w:rsidR="00F02E5E" w:rsidRPr="00F02E5E" w:rsidRDefault="00F02E5E" w:rsidP="00F02E5E">
      <w:pPr>
        <w:spacing w:after="0" w:line="360" w:lineRule="atLeast"/>
        <w:jc w:val="both"/>
        <w:rPr>
          <w:rFonts w:asciiTheme="majorHAnsi" w:hAnsiTheme="majorHAnsi" w:cs="Arial"/>
          <w:color w:val="000000" w:themeColor="text1"/>
          <w:sz w:val="24"/>
          <w:szCs w:val="24"/>
        </w:rPr>
      </w:pPr>
    </w:p>
    <w:p w14:paraId="38C0B608" w14:textId="77777777" w:rsidR="00F02E5E" w:rsidRPr="00F02E5E" w:rsidRDefault="00F02E5E" w:rsidP="00F02E5E">
      <w:pPr>
        <w:spacing w:after="12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t xml:space="preserve">W związku w pismem z dnia 23 kwietnia 2020 r. (PRZ.85.2020), otrzymanym w dniu </w:t>
      </w:r>
      <w:r w:rsidRPr="00F02E5E">
        <w:rPr>
          <w:rFonts w:asciiTheme="majorHAnsi" w:hAnsiTheme="majorHAnsi" w:cs="Arial"/>
          <w:color w:val="000000" w:themeColor="text1"/>
          <w:sz w:val="24"/>
          <w:szCs w:val="24"/>
          <w:highlight w:val="yellow"/>
        </w:rPr>
        <w:t>…</w:t>
      </w:r>
      <w:r w:rsidRPr="00F02E5E">
        <w:rPr>
          <w:rFonts w:asciiTheme="majorHAnsi" w:hAnsiTheme="majorHAnsi" w:cs="Arial"/>
          <w:color w:val="000000" w:themeColor="text1"/>
          <w:sz w:val="24"/>
          <w:szCs w:val="24"/>
        </w:rPr>
        <w:t xml:space="preserve"> informuję, że zgodnie z aktualnie obowiązującymi przepisami, art. 99 zdanie pierwsze ustawy z dnia 16 kwietnia 2020 r. o szczególnych instrumentach wsparcia w związku z rozprzestrzenianiem się wirusa SARS-CoV-2 (Dz. U. poz. 695) nie stanowi podstawy prawnej do przekazania Poczcie Polskiej S.A. danych ze spisu wyborców.</w:t>
      </w:r>
    </w:p>
    <w:p w14:paraId="54141F0E" w14:textId="77777777" w:rsidR="00F02E5E" w:rsidRPr="00F02E5E" w:rsidRDefault="00F02E5E" w:rsidP="00F02E5E">
      <w:pPr>
        <w:spacing w:after="12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t>Z przepisu tego wynika, że Poczta Polska S.A. ma prawo otrzymać dane z rejestru PESEL, bądź też z innego spisu lub rejestru będącego w dyspozycji organu administracji publicznej, w dwóch odrębnych od siebie przypadkach, tj. gdy są one potrzebne:</w:t>
      </w:r>
    </w:p>
    <w:p w14:paraId="22F8473C" w14:textId="77777777" w:rsidR="00F02E5E" w:rsidRPr="00F02E5E" w:rsidRDefault="00F02E5E" w:rsidP="00F02E5E">
      <w:pPr>
        <w:pStyle w:val="Akapitzlist"/>
        <w:numPr>
          <w:ilvl w:val="0"/>
          <w:numId w:val="1"/>
        </w:numPr>
        <w:spacing w:after="120" w:line="360" w:lineRule="atLeast"/>
        <w:ind w:left="357" w:hanging="357"/>
        <w:jc w:val="both"/>
        <w:rPr>
          <w:rFonts w:asciiTheme="majorHAnsi" w:hAnsiTheme="majorHAnsi" w:cs="Arial"/>
          <w:i/>
          <w:iCs/>
          <w:color w:val="000000" w:themeColor="text1"/>
          <w:sz w:val="24"/>
          <w:szCs w:val="24"/>
        </w:rPr>
      </w:pPr>
      <w:r w:rsidRPr="00F02E5E">
        <w:rPr>
          <w:rFonts w:asciiTheme="majorHAnsi" w:hAnsiTheme="majorHAnsi" w:cs="Arial"/>
          <w:i/>
          <w:iCs/>
          <w:color w:val="000000" w:themeColor="text1"/>
          <w:sz w:val="24"/>
          <w:szCs w:val="24"/>
        </w:rPr>
        <w:t xml:space="preserve">do realizacji zadań związanych z organizacją wyborów Prezydenta Rzeczypospolitej Polskiej </w:t>
      </w:r>
    </w:p>
    <w:p w14:paraId="29D198E6" w14:textId="77777777" w:rsidR="00F02E5E" w:rsidRPr="00F02E5E" w:rsidRDefault="00F02E5E" w:rsidP="00F02E5E">
      <w:pPr>
        <w:spacing w:after="120" w:line="360" w:lineRule="atLeast"/>
        <w:jc w:val="both"/>
        <w:rPr>
          <w:rFonts w:asciiTheme="majorHAnsi" w:hAnsiTheme="majorHAnsi" w:cs="Arial"/>
          <w:i/>
          <w:iCs/>
          <w:color w:val="000000" w:themeColor="text1"/>
          <w:sz w:val="24"/>
          <w:szCs w:val="24"/>
        </w:rPr>
      </w:pPr>
      <w:r w:rsidRPr="00F02E5E">
        <w:rPr>
          <w:rFonts w:asciiTheme="majorHAnsi" w:hAnsiTheme="majorHAnsi" w:cs="Arial"/>
          <w:i/>
          <w:iCs/>
          <w:color w:val="000000" w:themeColor="text1"/>
          <w:sz w:val="24"/>
          <w:szCs w:val="24"/>
        </w:rPr>
        <w:t>bądź</w:t>
      </w:r>
    </w:p>
    <w:p w14:paraId="68E369B2" w14:textId="77777777" w:rsidR="00F02E5E" w:rsidRPr="00F02E5E" w:rsidRDefault="00F02E5E" w:rsidP="00F02E5E">
      <w:pPr>
        <w:pStyle w:val="Akapitzlist"/>
        <w:numPr>
          <w:ilvl w:val="0"/>
          <w:numId w:val="1"/>
        </w:numPr>
        <w:spacing w:after="120" w:line="360" w:lineRule="atLeast"/>
        <w:ind w:left="357" w:hanging="357"/>
        <w:jc w:val="both"/>
        <w:rPr>
          <w:rFonts w:asciiTheme="majorHAnsi" w:hAnsiTheme="majorHAnsi" w:cs="Arial"/>
          <w:color w:val="000000" w:themeColor="text1"/>
          <w:sz w:val="24"/>
          <w:szCs w:val="24"/>
        </w:rPr>
      </w:pPr>
      <w:r w:rsidRPr="00F02E5E">
        <w:rPr>
          <w:rFonts w:asciiTheme="majorHAnsi" w:hAnsiTheme="majorHAnsi" w:cs="Arial"/>
          <w:i/>
          <w:iCs/>
          <w:color w:val="000000" w:themeColor="text1"/>
          <w:sz w:val="24"/>
          <w:szCs w:val="24"/>
        </w:rPr>
        <w:t>w celu wykonania innych obowiązków nałożonych przez organy administracji rządowej</w:t>
      </w:r>
      <w:r w:rsidRPr="00F02E5E">
        <w:rPr>
          <w:rFonts w:asciiTheme="majorHAnsi" w:hAnsiTheme="majorHAnsi" w:cs="Arial"/>
          <w:color w:val="000000" w:themeColor="text1"/>
          <w:sz w:val="24"/>
          <w:szCs w:val="24"/>
        </w:rPr>
        <w:t>.</w:t>
      </w:r>
    </w:p>
    <w:p w14:paraId="775AD011" w14:textId="77777777" w:rsidR="00F02E5E" w:rsidRPr="00F02E5E" w:rsidRDefault="00F02E5E" w:rsidP="00F02E5E">
      <w:pPr>
        <w:spacing w:after="12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t xml:space="preserve">Oba wskazane przypadki zostały połączone spójnikiem „bądź”, co oznacza, że obowiązki nakładane na Pocztę Polską S.A. przez organy administracji rządowej (pkt 2 powyżej) nie mogą dotyczyć realizacji zadań, wymienionych we wcześniejszej części przepisu, związanych z organizacją wyborów (pkt 1 powyżej). Zgodnie z przytoczonym przepisem muszą to być „inne obowiązki” niż obowiązki „związane z organizacją wyborów”. </w:t>
      </w:r>
    </w:p>
    <w:p w14:paraId="71ED066C" w14:textId="0DB44FC1" w:rsidR="00F02E5E" w:rsidRPr="00F02E5E" w:rsidRDefault="00F02E5E" w:rsidP="00F02E5E">
      <w:pPr>
        <w:spacing w:after="12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t xml:space="preserve">W piśmie z dnia 23 kwietnia 2020 r. Poczta Polska S.A. powołuje się na decyzję Prezesa Rady Ministrów z dnia 16 kwietnia 2020 r. (znak: BPRM.4820.3.2020). W decyzji tej polecono Poczcie Polskiej S.A. „podjęcie i realizację niezbędnych czynności zmierzających do przygotowania przeprowadzenia wyborów Prezydenta Rzeczypospolitej Polskiej w 2020 r., w trybie korespondencyjnym, w szczególności </w:t>
      </w:r>
      <w:r w:rsidRPr="00F02E5E">
        <w:rPr>
          <w:rFonts w:asciiTheme="majorHAnsi" w:hAnsiTheme="majorHAnsi" w:cs="Arial"/>
          <w:color w:val="000000" w:themeColor="text1"/>
          <w:sz w:val="24"/>
          <w:szCs w:val="24"/>
        </w:rPr>
        <w:lastRenderedPageBreak/>
        <w:t xml:space="preserve">poprzez przygotowanie struktury organizacyjnej, zapewnienie niezbędnej infrastruktury oraz pozyskanie koniecznych zasobów materialnych kadrowych”. Nie ulega wątpliwości, że „przygotowanie przeprowadzenia wyborów”, o którym mowa w decyzji mieści się w zakresie „zadań związanych z organizacją wyborów”, o których mowa w art. 99 zdanie pierwsze ustawy. „Organizowanie” oznacza: </w:t>
      </w:r>
      <w:r w:rsidRPr="00F02E5E">
        <w:rPr>
          <w:rFonts w:asciiTheme="majorHAnsi" w:hAnsiTheme="majorHAnsi" w:cs="Arial"/>
          <w:i/>
          <w:iCs/>
          <w:color w:val="000000" w:themeColor="text1"/>
          <w:sz w:val="24"/>
          <w:szCs w:val="24"/>
        </w:rPr>
        <w:t>1. «planowanie i koordynowanie poszczególnych etapów jakichś działań» oraz 2. «tworzenie zespołu do wspólnego działania lub zakładanie instytucji, organizacji itp.»</w:t>
      </w:r>
      <w:r w:rsidRPr="00F02E5E">
        <w:rPr>
          <w:rFonts w:asciiTheme="majorHAnsi" w:hAnsiTheme="majorHAnsi" w:cs="Arial"/>
          <w:color w:val="000000" w:themeColor="text1"/>
          <w:sz w:val="24"/>
          <w:szCs w:val="24"/>
        </w:rPr>
        <w:t xml:space="preserve"> (</w:t>
      </w:r>
      <w:hyperlink r:id="rId8" w:history="1">
        <w:r w:rsidRPr="00F02E5E">
          <w:rPr>
            <w:rStyle w:val="Hipercze"/>
            <w:rFonts w:asciiTheme="majorHAnsi" w:hAnsiTheme="majorHAnsi" w:cs="Arial"/>
            <w:color w:val="000000" w:themeColor="text1"/>
            <w:sz w:val="24"/>
            <w:szCs w:val="24"/>
          </w:rPr>
          <w:t>https://sjp.pwn.pl/slowniki/organizowanie.html</w:t>
        </w:r>
      </w:hyperlink>
      <w:r w:rsidRPr="00F02E5E">
        <w:rPr>
          <w:rFonts w:asciiTheme="majorHAnsi" w:hAnsiTheme="majorHAnsi" w:cs="Arial"/>
          <w:color w:val="000000" w:themeColor="text1"/>
          <w:sz w:val="24"/>
          <w:szCs w:val="24"/>
        </w:rPr>
        <w:t>). Jest oczywiste, że „przygotowanie przeprowadzenia wyborów” stanowi jeden z etapów ich organizowania. Przykładowy katalog zadań wymienionych w decyzji – „przygotowanie struktury organizacyjnej, zapewnienie niezbędnej infrastruktury oraz pozyskanie koniecznych zasobów materialnych kadrowych” – zmierza do utworzenia zespołu do wspólnego działania, do stworzenia organizacji, która ma przygotować przeprowadzenie wyborów.</w:t>
      </w:r>
    </w:p>
    <w:p w14:paraId="2D1C4CF4" w14:textId="77777777" w:rsidR="00F02E5E" w:rsidRPr="00F02E5E" w:rsidRDefault="00F02E5E" w:rsidP="00F02E5E">
      <w:pPr>
        <w:spacing w:after="12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t>Nie ulega więc wątpliwości, że przedmiotem decyzji z dnia 16 kwietnia 2020 r. (znak: BPRM.4820.3.2020) są zadania związane z „organizacją wyborów Prezydenta Rzeczypospolitej Polskiej”. Decyzja ta nie nakłada na Pocztę Polską S.A. „innych obowiązków”, niż organizowanie tych wyborów, w związku z czym przepis art. 99 ustawy z dnia 16 kwietnia 2020 r. nie daje Poczcie Polskiej S.A. uprawnienia do otrzymania danych ze spisu wyborców w celu wykonania obowiązków wynikających z tej decyzji.</w:t>
      </w:r>
    </w:p>
    <w:p w14:paraId="31C0FFE3" w14:textId="77777777" w:rsidR="00F02E5E" w:rsidRPr="00F02E5E" w:rsidRDefault="00F02E5E" w:rsidP="00F02E5E">
      <w:pPr>
        <w:spacing w:after="12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t>Zatem decyzja Prezesa Rady Ministrów z dnia 16 kwietnia 2020 r. (BPRM.4820.2.3.2020), ze względu na jej przedmiot, nie może stanowić podstawy do wystąpienia z wnioskiem w trybie art. 99 ustawy z dnia 16 kwietnia 2020 r.</w:t>
      </w:r>
    </w:p>
    <w:p w14:paraId="542579BC" w14:textId="77777777" w:rsidR="00F02E5E" w:rsidRPr="00F02E5E" w:rsidRDefault="00F02E5E" w:rsidP="00F02E5E">
      <w:pPr>
        <w:spacing w:after="12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t>Niezależnie od powyższego wyrażam stanowisko, że decyzja z dnia 16 kwietnia 2020 r. (znak: BPRM.4820.3.2020) została wydana z naruszeniem przepisów prawa.</w:t>
      </w:r>
    </w:p>
    <w:p w14:paraId="3CBC0C12" w14:textId="77777777" w:rsidR="00F02E5E" w:rsidRPr="00F02E5E" w:rsidRDefault="00F02E5E" w:rsidP="00F02E5E">
      <w:pPr>
        <w:spacing w:after="12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t xml:space="preserve">Po pierwsze, Prezes Rady Ministrów, wydając decyzję z dnia 16 kwietnia 2020 r. (znak: BPRM.4820.3.2020) naruszył art. 7 Konstytucji, zgodnie z którym: </w:t>
      </w:r>
      <w:r w:rsidRPr="00F02E5E">
        <w:rPr>
          <w:rFonts w:asciiTheme="majorHAnsi" w:hAnsiTheme="majorHAnsi" w:cs="Arial"/>
          <w:i/>
          <w:iCs/>
          <w:color w:val="000000" w:themeColor="text1"/>
          <w:sz w:val="24"/>
          <w:szCs w:val="24"/>
        </w:rPr>
        <w:t>Organy władzy publicznej działają na podstawie i w granicach prawa</w:t>
      </w:r>
      <w:r w:rsidRPr="00F02E5E">
        <w:rPr>
          <w:rFonts w:asciiTheme="majorHAnsi" w:hAnsiTheme="majorHAnsi" w:cs="Arial"/>
          <w:color w:val="000000" w:themeColor="text1"/>
          <w:sz w:val="24"/>
          <w:szCs w:val="24"/>
        </w:rPr>
        <w:t xml:space="preserve">, a także art. 19 Kpa, zgodnie z którym: </w:t>
      </w:r>
      <w:r w:rsidRPr="00F02E5E">
        <w:rPr>
          <w:rFonts w:asciiTheme="majorHAnsi" w:hAnsiTheme="majorHAnsi" w:cs="Arial"/>
          <w:i/>
          <w:iCs/>
          <w:color w:val="000000" w:themeColor="text1"/>
          <w:sz w:val="24"/>
          <w:szCs w:val="24"/>
        </w:rPr>
        <w:t>Organy administracji publicznej przestrzegają z urzędu swojej właściwości rzeczowej i miejscowej</w:t>
      </w:r>
      <w:r w:rsidRPr="00F02E5E">
        <w:rPr>
          <w:rFonts w:asciiTheme="majorHAnsi" w:hAnsiTheme="majorHAnsi" w:cs="Arial"/>
          <w:color w:val="000000" w:themeColor="text1"/>
          <w:sz w:val="24"/>
          <w:szCs w:val="24"/>
        </w:rPr>
        <w:t xml:space="preserve">. Z przepisów art. 11 ust. 1 i ust. 2 ustawy z dnia 2 marca 2020 r. o szczególnych rozwiązaniach związanych z zapobieganiem, przeciwdziałaniem i zwalczaniem COVID-19, innych chorób zakaźnych oraz wywołanych nimi sytuacji kryzysowych (Dz. U. poz. 374, z późn. zm.) – </w:t>
      </w:r>
      <w:r w:rsidRPr="00F02E5E">
        <w:rPr>
          <w:rFonts w:asciiTheme="majorHAnsi" w:hAnsiTheme="majorHAnsi" w:cs="Arial"/>
          <w:color w:val="000000" w:themeColor="text1"/>
          <w:sz w:val="24"/>
          <w:szCs w:val="24"/>
          <w:u w:val="single"/>
        </w:rPr>
        <w:t>w brzmieniu obowiązującym w dacie wydania decyzji</w:t>
      </w:r>
      <w:r w:rsidRPr="00F02E5E">
        <w:rPr>
          <w:rFonts w:asciiTheme="majorHAnsi" w:hAnsiTheme="majorHAnsi" w:cs="Arial"/>
          <w:color w:val="000000" w:themeColor="text1"/>
          <w:sz w:val="24"/>
          <w:szCs w:val="24"/>
        </w:rPr>
        <w:t xml:space="preserve"> – wynikało, że wyłączną kompetencję do wydawania poleceń państwowym osobom prawnym, wymienionym w art. 11 ust. 1 ustawy, miał wojewoda. Natomiast Prezes Rady Ministrów posiadał kompetencje do wydawania poleceń obowiązujących</w:t>
      </w:r>
      <w:r w:rsidRPr="00F02E5E">
        <w:rPr>
          <w:rFonts w:asciiTheme="majorHAnsi" w:hAnsiTheme="majorHAnsi" w:cs="Arial"/>
          <w:i/>
          <w:iCs/>
          <w:color w:val="000000" w:themeColor="text1"/>
          <w:sz w:val="24"/>
          <w:szCs w:val="24"/>
        </w:rPr>
        <w:t xml:space="preserve"> inne, niż wymienione w ust. 1, osoby prawne</w:t>
      </w:r>
      <w:r w:rsidRPr="00F02E5E">
        <w:rPr>
          <w:rFonts w:asciiTheme="majorHAnsi" w:hAnsiTheme="majorHAnsi" w:cs="Arial"/>
          <w:color w:val="000000" w:themeColor="text1"/>
          <w:sz w:val="24"/>
          <w:szCs w:val="24"/>
        </w:rPr>
        <w:t xml:space="preserve">. Poczta Polska S.A. jest państwową osobą prawną w rozumieniu art. 3 ustawy z dnia 16 grudnia 2016 r. o zasadach zarządzania </w:t>
      </w:r>
      <w:r w:rsidRPr="00F02E5E">
        <w:rPr>
          <w:rFonts w:asciiTheme="majorHAnsi" w:hAnsiTheme="majorHAnsi" w:cs="Arial"/>
          <w:color w:val="000000" w:themeColor="text1"/>
          <w:sz w:val="24"/>
          <w:szCs w:val="24"/>
        </w:rPr>
        <w:lastRenderedPageBreak/>
        <w:t>mieniem państwowym (t.j. Dz. U. z 2019 r., poz. 1302, z późn. zm.). Oznacza to, że Prezes Rady Ministrów nie miał kompetencji do wydania decyzji z dnia 16 kwietnia 2020 r. w stosunku do Poczty Polskiej S.A. Sytuacja uległa zianie od dnia 18 kwietnia 2020 r. w związku z nowelizacją art. 11 ustawy z dnia 2 marca 2020 r., co jednak nie ma wpływu na ocenę wcześniej wydanej decyzji.</w:t>
      </w:r>
    </w:p>
    <w:p w14:paraId="1527E229" w14:textId="77777777" w:rsidR="00F02E5E" w:rsidRPr="00F02E5E" w:rsidRDefault="00F02E5E" w:rsidP="00F02E5E">
      <w:pPr>
        <w:spacing w:after="12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t xml:space="preserve">Po drugie, decyzja z dnia 16 kwietnia 2020 r. (znak: BPRM.4820.3.2020) dotyczy „przygotowania przeprowadzenia wyborów Prezydenta Rzeczypospolitej Polskiej w 2020 r., w trybie korespondencyjnym”. Z przepisu art. 127 ust. 1 Konstytucji wynika, że: </w:t>
      </w:r>
      <w:r w:rsidRPr="00F02E5E">
        <w:rPr>
          <w:rFonts w:asciiTheme="majorHAnsi" w:hAnsiTheme="majorHAnsi" w:cs="Arial"/>
          <w:i/>
          <w:iCs/>
          <w:color w:val="000000" w:themeColor="text1"/>
          <w:sz w:val="24"/>
          <w:szCs w:val="24"/>
        </w:rPr>
        <w:t>Prezydent Rzeczypospolitej jest wybierany przez Naród w wyborach powszechnych, równych, bezpośrednich i w głosowaniu tajnym</w:t>
      </w:r>
      <w:r w:rsidRPr="00F02E5E">
        <w:rPr>
          <w:rFonts w:asciiTheme="majorHAnsi" w:hAnsiTheme="majorHAnsi" w:cs="Arial"/>
          <w:color w:val="000000" w:themeColor="text1"/>
          <w:sz w:val="24"/>
          <w:szCs w:val="24"/>
        </w:rPr>
        <w:t xml:space="preserve">. Z ust. 7 tego przepisu wynika, że: </w:t>
      </w:r>
      <w:r w:rsidRPr="00F02E5E">
        <w:rPr>
          <w:rFonts w:asciiTheme="majorHAnsi" w:hAnsiTheme="majorHAnsi" w:cs="Arial"/>
          <w:b/>
          <w:bCs/>
          <w:i/>
          <w:iCs/>
          <w:color w:val="000000" w:themeColor="text1"/>
          <w:sz w:val="24"/>
          <w:szCs w:val="24"/>
        </w:rPr>
        <w:t>Zasady i tryb</w:t>
      </w:r>
      <w:r w:rsidRPr="00F02E5E">
        <w:rPr>
          <w:rFonts w:asciiTheme="majorHAnsi" w:hAnsiTheme="majorHAnsi" w:cs="Arial"/>
          <w:i/>
          <w:iCs/>
          <w:color w:val="000000" w:themeColor="text1"/>
          <w:sz w:val="24"/>
          <w:szCs w:val="24"/>
        </w:rPr>
        <w:t xml:space="preserve"> zgłaszania kandydatów i </w:t>
      </w:r>
      <w:r w:rsidRPr="00F02E5E">
        <w:rPr>
          <w:rFonts w:asciiTheme="majorHAnsi" w:hAnsiTheme="majorHAnsi" w:cs="Arial"/>
          <w:b/>
          <w:bCs/>
          <w:i/>
          <w:iCs/>
          <w:color w:val="000000" w:themeColor="text1"/>
          <w:sz w:val="24"/>
          <w:szCs w:val="24"/>
        </w:rPr>
        <w:t>przeprowadzania wyborów</w:t>
      </w:r>
      <w:r w:rsidRPr="00F02E5E">
        <w:rPr>
          <w:rFonts w:asciiTheme="majorHAnsi" w:hAnsiTheme="majorHAnsi" w:cs="Arial"/>
          <w:i/>
          <w:iCs/>
          <w:color w:val="000000" w:themeColor="text1"/>
          <w:sz w:val="24"/>
          <w:szCs w:val="24"/>
        </w:rPr>
        <w:t xml:space="preserve"> oraz warunki ważności wyboru Prezydenta Rzeczypospolitej </w:t>
      </w:r>
      <w:r w:rsidRPr="00F02E5E">
        <w:rPr>
          <w:rFonts w:asciiTheme="majorHAnsi" w:hAnsiTheme="majorHAnsi" w:cs="Arial"/>
          <w:b/>
          <w:bCs/>
          <w:i/>
          <w:iCs/>
          <w:color w:val="000000" w:themeColor="text1"/>
          <w:sz w:val="24"/>
          <w:szCs w:val="24"/>
        </w:rPr>
        <w:t>określa ustawa</w:t>
      </w:r>
      <w:r w:rsidRPr="00F02E5E">
        <w:rPr>
          <w:rFonts w:asciiTheme="majorHAnsi" w:hAnsiTheme="majorHAnsi" w:cs="Arial"/>
          <w:color w:val="000000" w:themeColor="text1"/>
          <w:sz w:val="24"/>
          <w:szCs w:val="24"/>
        </w:rPr>
        <w:t>. W dniu wydania decyzji nie obowiązywały żadne przepisy, na mocy których wybory Prezydenta Rzeczypospolitej Polskiej w 2020 roku miałyby się odbyć w trybie korespondencyjnym. W dniu tym pozostawało w mocy postanowienie Marszałka Sejmu Rzeczypospolitej Polskiej z dnia 5 lutego 2020 r. w sprawie zarządzenia wyborów Prezydenta Rzeczypospolitej Polskiej opublikowane w Dzienniku Ustaw pod poz. 184. Na mocy tego postanowienia zarządzone zostały wybory przeprowadzane zgodnie z aktualnie obowiązującymi przepisami. Według stanu na dzień 16 kwietnia 2020 r. Kodeks wyborczy w art. 53a przewidywał możliwość głosowania korespondencyjnego jedynie przez: wyborcę niepełnosprawnego o znacznym lub umiarkowanym stopniu niepełnosprawności, wyborcę podlegającego w dniu głosowania obowiązkowej kwarantannie, izolacji lub izolacji w warunkach domowych, oraz wyborcę, który najpóźniej w dniu głosowania kończy 60 lat. Od 18 kwietnia 2020 r. wyłączono stosowanie tego przepisu w okresie obowiązywania stanu zagrożenia epidemicznego i stanu epidemii – na mocy art. 102 pkt 4 ustawy z dnia 16 kwietnia 2020 r. W związku z tym od 18 kwietnia 2020 r. żaden wyborca nie może głosować korespondencyjnie.</w:t>
      </w:r>
    </w:p>
    <w:p w14:paraId="361C0DA5" w14:textId="77777777" w:rsidR="00F02E5E" w:rsidRPr="00F02E5E" w:rsidRDefault="00F02E5E" w:rsidP="00F02E5E">
      <w:pPr>
        <w:spacing w:after="12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t xml:space="preserve">W świetle przytoczonych wyżej powszechnie obowiązujących przepisów, decyzja Prezesa Rady Ministrów z dnia 16 kwietnia 2020 r. (znak: BPRM.4820.3.2020) narusza art. 127 ust. 7 Konstytucji. Prezes Rady Ministrów, polecając Poczcie Polskiej S.A. przygotowanie przeprowadzenia wyborów w trybie korespondencyjnym w sytuacji gdy takiego trybu nie przewiduje żadna ustawa, samodzielnie uregulował w decyzji materię zastrzeżoną z mocy Konstytucji dla przepisów rangi ustawowej. </w:t>
      </w:r>
    </w:p>
    <w:p w14:paraId="6D44491B" w14:textId="77777777" w:rsidR="00F02E5E" w:rsidRPr="00F02E5E" w:rsidRDefault="00F02E5E" w:rsidP="00F02E5E">
      <w:pPr>
        <w:spacing w:after="12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t xml:space="preserve">Z przedstawionych wyżej argumentów wynika, że decyzja Prezesa Rady Ministrów z dnia 16 kwietnia 2020 r. (znak: BPRM.4820.3.2020) narusza prawo zarówno w zakresie kompetencji formalnych do jej wydania, jak i w zakresie merytorycznym, samodzielnie regulując materię która została zastrzeżona do wyłącznej kompetencji ustawodawcy. </w:t>
      </w:r>
      <w:r w:rsidRPr="00F02E5E">
        <w:rPr>
          <w:rFonts w:asciiTheme="majorHAnsi" w:hAnsiTheme="majorHAnsi" w:cs="Arial"/>
          <w:color w:val="000000" w:themeColor="text1"/>
          <w:sz w:val="24"/>
          <w:szCs w:val="24"/>
        </w:rPr>
        <w:lastRenderedPageBreak/>
        <w:t>Niemniej jednak – jak wyżej wykazano, nawet gdyby decyzja z dnia 16 kwietnia 2020 r. została wydana przez organ do tego upoważniony i gdyby obowiązywały przepisy umożliwiające przeprowadzenie wyborów w trybie korespondencyjnym, to i tak ze względu na jej przedmiot, nie mogłaby stanowić podstawy do złożenia przez Pocztę Polską S.A. skutecznego wniosku w trybie art. 99 ustawy z dnia 16 kwietnia 2020 r.</w:t>
      </w:r>
    </w:p>
    <w:p w14:paraId="6FB58CAA" w14:textId="77777777" w:rsidR="00F02E5E" w:rsidRPr="00F02E5E" w:rsidRDefault="00F02E5E" w:rsidP="00F02E5E">
      <w:pPr>
        <w:spacing w:after="12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t xml:space="preserve">Nie ulega wątpliwości, że według stanu na dzień wpływu pisma z dnia 23 kwietnia 2020 r. oraz na dzień udzielania niniejszej odpowiedzi, Poczta Polska S.A. nie realizuje również żadnych ustawowych zadań </w:t>
      </w:r>
      <w:r w:rsidRPr="00F02E5E">
        <w:rPr>
          <w:rFonts w:asciiTheme="majorHAnsi" w:hAnsiTheme="majorHAnsi" w:cs="Arial"/>
          <w:i/>
          <w:iCs/>
          <w:color w:val="000000" w:themeColor="text1"/>
          <w:sz w:val="24"/>
          <w:szCs w:val="24"/>
        </w:rPr>
        <w:t>związanych z organizacją wyborów Prezydenta Rzeczypospolitej Polskiej</w:t>
      </w:r>
      <w:r w:rsidRPr="00F02E5E">
        <w:rPr>
          <w:rFonts w:asciiTheme="majorHAnsi" w:hAnsiTheme="majorHAnsi" w:cs="Arial"/>
          <w:color w:val="000000" w:themeColor="text1"/>
          <w:sz w:val="24"/>
          <w:szCs w:val="24"/>
        </w:rPr>
        <w:t xml:space="preserve">, które dawałyby jej prawo do wnioskowania o przekazanie danych osobowych ze spisu wyborców. Poczta Polska S.A. nie jest stałym organem wyborczym, ani nie została powołana jako organ wyborczy do przeprowadzenia wyborów zarządzonych na 10 maja 2020 r. (art. 152 Kodeksu wyborczego). </w:t>
      </w:r>
    </w:p>
    <w:p w14:paraId="22E23957" w14:textId="77777777" w:rsidR="00F02E5E" w:rsidRPr="00F02E5E" w:rsidRDefault="00F02E5E" w:rsidP="00F02E5E">
      <w:pPr>
        <w:spacing w:after="12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t xml:space="preserve">Ustawa o szczególnych zasadach przeprowadzania wyborów powszechnych na Prezydenta Rzeczypospolitej Polskiej zarządzonych w 2020 r., uchwalona przez Sejm w dniu 6 kwietnia 2020 r., jest obecnie procedowana przez Senat. Dopiero w przepisach tej ustawy przewidziano udział Poczty Polskiej S.A. w przeprowadzeniu wyborów Prezydenta Rzeczypospolitej Polskiej w 2020 roku. </w:t>
      </w:r>
    </w:p>
    <w:p w14:paraId="5BBE8184" w14:textId="77777777" w:rsidR="00F02E5E" w:rsidRPr="00F02E5E" w:rsidRDefault="00F02E5E" w:rsidP="00F02E5E">
      <w:pPr>
        <w:spacing w:after="12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t xml:space="preserve">Poczta Polska S.A. nie bierze udziału w procesie uchwalania ustawy. Nawet gdyby została zaangażowana w ten proces, jest oczywiste, że na tym legislacyjnym etapie „organizacji wyborów Prezydenta Rzeczypospolitej Polskiej” nie jest nikomu potrzebny dostęp do danych osobowych zawartych w spisach wyborców.  </w:t>
      </w:r>
    </w:p>
    <w:p w14:paraId="367B86A9" w14:textId="77777777" w:rsidR="00F02E5E" w:rsidRPr="00F02E5E" w:rsidRDefault="00F02E5E" w:rsidP="00F02E5E">
      <w:pPr>
        <w:spacing w:after="12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t xml:space="preserve">Należy podkreślić, że zgonie z art. 51 ust. 2 Konstytucji: </w:t>
      </w:r>
      <w:r w:rsidRPr="00F02E5E">
        <w:rPr>
          <w:rFonts w:asciiTheme="majorHAnsi" w:hAnsiTheme="majorHAnsi" w:cs="Arial"/>
          <w:i/>
          <w:iCs/>
          <w:color w:val="000000" w:themeColor="text1"/>
          <w:sz w:val="24"/>
          <w:szCs w:val="24"/>
        </w:rPr>
        <w:t>Władze publiczne nie mogą pozyskiwać, gromadzić i udostępniać innych informacji o obywatelach niż niezbędne w demokratycznym państwie prawnym</w:t>
      </w:r>
      <w:r w:rsidRPr="00F02E5E">
        <w:rPr>
          <w:rFonts w:asciiTheme="majorHAnsi" w:hAnsiTheme="majorHAnsi" w:cs="Arial"/>
          <w:color w:val="000000" w:themeColor="text1"/>
          <w:sz w:val="24"/>
          <w:szCs w:val="24"/>
        </w:rPr>
        <w:t xml:space="preserve">. Przy czym z ust. 5 wynika, że: </w:t>
      </w:r>
      <w:r w:rsidRPr="00F02E5E">
        <w:rPr>
          <w:rFonts w:asciiTheme="majorHAnsi" w:hAnsiTheme="majorHAnsi" w:cs="Arial"/>
          <w:i/>
          <w:iCs/>
          <w:color w:val="000000" w:themeColor="text1"/>
          <w:sz w:val="24"/>
          <w:szCs w:val="24"/>
        </w:rPr>
        <w:t xml:space="preserve">Zasady i tryb gromadzenia oraz udostępniania informacji </w:t>
      </w:r>
      <w:r w:rsidRPr="00F02E5E">
        <w:rPr>
          <w:rFonts w:asciiTheme="majorHAnsi" w:hAnsiTheme="majorHAnsi" w:cs="Arial"/>
          <w:b/>
          <w:bCs/>
          <w:i/>
          <w:iCs/>
          <w:color w:val="000000" w:themeColor="text1"/>
          <w:sz w:val="24"/>
          <w:szCs w:val="24"/>
        </w:rPr>
        <w:t>określa ustawa</w:t>
      </w:r>
      <w:r w:rsidRPr="00F02E5E">
        <w:rPr>
          <w:rFonts w:asciiTheme="majorHAnsi" w:hAnsiTheme="majorHAnsi" w:cs="Arial"/>
          <w:color w:val="000000" w:themeColor="text1"/>
          <w:sz w:val="24"/>
          <w:szCs w:val="24"/>
        </w:rPr>
        <w:t xml:space="preserve">. Z art. 88 ust. 1 Konstytucji wynika natomiast, że: </w:t>
      </w:r>
      <w:r w:rsidRPr="00F02E5E">
        <w:rPr>
          <w:rFonts w:asciiTheme="majorHAnsi" w:hAnsiTheme="majorHAnsi" w:cs="Arial"/>
          <w:b/>
          <w:bCs/>
          <w:i/>
          <w:iCs/>
          <w:color w:val="000000" w:themeColor="text1"/>
          <w:sz w:val="24"/>
          <w:szCs w:val="24"/>
        </w:rPr>
        <w:t>Warunkiem wejścia w życie ustaw</w:t>
      </w:r>
      <w:r w:rsidRPr="00F02E5E">
        <w:rPr>
          <w:rFonts w:asciiTheme="majorHAnsi" w:hAnsiTheme="majorHAnsi" w:cs="Arial"/>
          <w:i/>
          <w:iCs/>
          <w:color w:val="000000" w:themeColor="text1"/>
          <w:sz w:val="24"/>
          <w:szCs w:val="24"/>
        </w:rPr>
        <w:t xml:space="preserve">, rozporządzeń oraz aktów prawa miejscowego </w:t>
      </w:r>
      <w:r w:rsidRPr="00F02E5E">
        <w:rPr>
          <w:rFonts w:asciiTheme="majorHAnsi" w:hAnsiTheme="majorHAnsi" w:cs="Arial"/>
          <w:b/>
          <w:bCs/>
          <w:i/>
          <w:iCs/>
          <w:color w:val="000000" w:themeColor="text1"/>
          <w:sz w:val="24"/>
          <w:szCs w:val="24"/>
        </w:rPr>
        <w:t>jest ich ogłoszenie</w:t>
      </w:r>
      <w:r w:rsidRPr="00F02E5E">
        <w:rPr>
          <w:rFonts w:asciiTheme="majorHAnsi" w:hAnsiTheme="majorHAnsi" w:cs="Arial"/>
          <w:color w:val="000000" w:themeColor="text1"/>
          <w:sz w:val="24"/>
          <w:szCs w:val="24"/>
        </w:rPr>
        <w:t>. W świetle tych przepisów Konstytucji jest oczywiste, że projekt ustawy o szczególnych zasadach…, uchwalony przez Sejm w dniu 6 kwietnia 2020 r. nie stanowi żadnej podstawy do udostępnienia danych osobowych. Nawet jeśli ustawa ta wejdzie w życie, to przekazanie danych osobowych przed tą datą będzie stanowiło naruszenie prawa i nie zwolni administratora danych z odpowiedzialności za to naruszenie.</w:t>
      </w:r>
    </w:p>
    <w:p w14:paraId="3BE9D5D7" w14:textId="77777777" w:rsidR="00F02E5E" w:rsidRPr="00F02E5E" w:rsidRDefault="00F02E5E" w:rsidP="00F02E5E">
      <w:pPr>
        <w:spacing w:after="12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t xml:space="preserve">Zgodnie z art. 5 ust. 1 lit. a) i b) rozporządzenia Parlamentu Europejskiego i Rady (UE) 2016/679 z dnia 27 kwietnia 2016 r. w sprawie ochrony osób fizycznych w związku z przetwarzaniem danych osobowych i w sprawie swobodnego przepływu takich danych oraz uchylenia dyrektywy 95/46/WE (RODO) dane osobowe muszą być </w:t>
      </w:r>
      <w:r w:rsidRPr="00F02E5E">
        <w:rPr>
          <w:rFonts w:asciiTheme="majorHAnsi" w:hAnsiTheme="majorHAnsi" w:cs="Arial"/>
          <w:i/>
          <w:iCs/>
          <w:color w:val="000000" w:themeColor="text1"/>
          <w:sz w:val="24"/>
          <w:szCs w:val="24"/>
        </w:rPr>
        <w:t xml:space="preserve">przetwarzane zgodnie z prawem, rzetelnie i w sposób przejrzysty dla osoby, której dane dotyczą </w:t>
      </w:r>
      <w:r w:rsidRPr="00F02E5E">
        <w:rPr>
          <w:rFonts w:asciiTheme="majorHAnsi" w:hAnsiTheme="majorHAnsi" w:cs="Arial"/>
          <w:i/>
          <w:iCs/>
          <w:color w:val="000000" w:themeColor="text1"/>
          <w:sz w:val="24"/>
          <w:szCs w:val="24"/>
        </w:rPr>
        <w:lastRenderedPageBreak/>
        <w:t>("zgodność z prawem, rzetelność i przejrzystość")</w:t>
      </w:r>
      <w:r w:rsidRPr="00F02E5E">
        <w:rPr>
          <w:rFonts w:asciiTheme="majorHAnsi" w:hAnsiTheme="majorHAnsi" w:cs="Arial"/>
          <w:color w:val="000000" w:themeColor="text1"/>
          <w:sz w:val="24"/>
          <w:szCs w:val="24"/>
        </w:rPr>
        <w:t xml:space="preserve">, a także muszą być </w:t>
      </w:r>
      <w:r w:rsidRPr="00F02E5E">
        <w:rPr>
          <w:rFonts w:asciiTheme="majorHAnsi" w:hAnsiTheme="majorHAnsi" w:cs="Arial"/>
          <w:i/>
          <w:iCs/>
          <w:color w:val="000000" w:themeColor="text1"/>
          <w:sz w:val="24"/>
          <w:szCs w:val="24"/>
        </w:rPr>
        <w:t>zbierane w konkretnych, wyraźnych i prawnie uzasadnionych celach i nieprzetwarzane dalej w sposób niezgodny z tymi celami; dalsze przetwarzanie do celów archiwalnych w interesie publicznym, do celów badań naukowych lub historycznych lub do celów statystycznych nie jest uznawane w myśl art. 89 ust. 1 za niezgodne z pierwotnymi celami ("ograniczenie celu")</w:t>
      </w:r>
      <w:r w:rsidRPr="00F02E5E">
        <w:rPr>
          <w:rFonts w:asciiTheme="majorHAnsi" w:hAnsiTheme="majorHAnsi" w:cs="Arial"/>
          <w:color w:val="000000" w:themeColor="text1"/>
          <w:sz w:val="24"/>
          <w:szCs w:val="24"/>
        </w:rPr>
        <w:t xml:space="preserve">. Zgodnie z art. 5 ust. 2 rozporządzenia RODO:  </w:t>
      </w:r>
      <w:r w:rsidRPr="00F02E5E">
        <w:rPr>
          <w:rFonts w:asciiTheme="majorHAnsi" w:hAnsiTheme="majorHAnsi" w:cs="Arial"/>
          <w:i/>
          <w:iCs/>
          <w:color w:val="000000" w:themeColor="text1"/>
          <w:sz w:val="24"/>
          <w:szCs w:val="24"/>
        </w:rPr>
        <w:t>Administrator jest odpowiedzialny za przestrzeganie przepisów ust. 1 i musi być w stanie wykazać ich przestrzeganie ("rozliczalność")</w:t>
      </w:r>
      <w:r w:rsidRPr="00F02E5E">
        <w:rPr>
          <w:rFonts w:asciiTheme="majorHAnsi" w:hAnsiTheme="majorHAnsi" w:cs="Arial"/>
          <w:color w:val="000000" w:themeColor="text1"/>
          <w:sz w:val="24"/>
          <w:szCs w:val="24"/>
        </w:rPr>
        <w:t>. Za naruszenie przepisów w zakresie ochrony danych osobowych grożą sankcje karne, administracyjne i odszkodowawcze.</w:t>
      </w:r>
    </w:p>
    <w:p w14:paraId="14BD67C8" w14:textId="77777777" w:rsidR="00F02E5E" w:rsidRPr="00F02E5E" w:rsidRDefault="00F02E5E" w:rsidP="00F02E5E">
      <w:pPr>
        <w:spacing w:after="120" w:line="360" w:lineRule="atLeast"/>
        <w:jc w:val="both"/>
        <w:rPr>
          <w:rFonts w:asciiTheme="majorHAnsi" w:hAnsiTheme="majorHAnsi" w:cs="Arial"/>
          <w:b/>
          <w:bCs/>
          <w:color w:val="000000" w:themeColor="text1"/>
          <w:sz w:val="24"/>
          <w:szCs w:val="24"/>
        </w:rPr>
      </w:pPr>
      <w:r w:rsidRPr="00F02E5E">
        <w:rPr>
          <w:rFonts w:asciiTheme="majorHAnsi" w:hAnsiTheme="majorHAnsi" w:cs="Arial"/>
          <w:b/>
          <w:bCs/>
          <w:color w:val="000000" w:themeColor="text1"/>
          <w:sz w:val="24"/>
          <w:szCs w:val="24"/>
        </w:rPr>
        <w:tab/>
        <w:t>W tym stanie rzeczy, jako administrator danych osobowych zawartych w spisie wyborców, na podstawie art. 5 ust. 2 w związku z ust. 1 lit. a) i b) rozporządzenia RODO, odmawiam przekazania danych osobowych zawartych w spisie wyborców, o którym mowa w art. 26 § 4 ustawy z dnia 5 stycznia 2011 r. Kodeks wyborczy (Dz. U. z 2019 r., poz. 684, z późn. zm.) z uwagi na brak podstaw prawnych do uwzględnienia wniosku Poczty Polskiej S.A.</w:t>
      </w:r>
    </w:p>
    <w:p w14:paraId="7AAE05AD" w14:textId="620D3FF4" w:rsidR="00C917C2" w:rsidRPr="00F02E5E" w:rsidRDefault="00F02E5E" w:rsidP="00F02E5E">
      <w:pPr>
        <w:spacing w:after="120" w:line="360" w:lineRule="atLeast"/>
        <w:jc w:val="both"/>
        <w:rPr>
          <w:rFonts w:asciiTheme="majorHAnsi" w:hAnsiTheme="majorHAnsi" w:cs="Arial"/>
          <w:color w:val="000000" w:themeColor="text1"/>
          <w:sz w:val="24"/>
          <w:szCs w:val="24"/>
        </w:rPr>
      </w:pPr>
      <w:r w:rsidRPr="00F02E5E">
        <w:rPr>
          <w:rFonts w:asciiTheme="majorHAnsi" w:hAnsiTheme="majorHAnsi" w:cs="Arial"/>
          <w:color w:val="000000" w:themeColor="text1"/>
          <w:sz w:val="24"/>
          <w:szCs w:val="24"/>
        </w:rPr>
        <w:tab/>
        <w:t>Informuję, że przedstawiona w niniejszym piśmie ocena prawna wniosku Poczty Polskiej S.A. zawartego w piśmie z dnia 23 kwietnia 2020 r. oraz decyzji Prezesa Rady Ministrów z dnia 16 kwietnia 2020 r. (BPRM.4820.2.3.2020) znajduje poparcie w kilku opiniach prawnych, sporządzonych dla organizacji zrzeszających jednostki samorządu terytorialnego, które zostały udostępnione wójtom, burmistrzom i prezydentom miast.</w:t>
      </w:r>
    </w:p>
    <w:sectPr w:rsidR="00C917C2" w:rsidRPr="00F02E5E" w:rsidSect="004409D1">
      <w:headerReference w:type="even" r:id="rId9"/>
      <w:headerReference w:type="default" r:id="rId10"/>
      <w:footerReference w:type="even" r:id="rId11"/>
      <w:footerReference w:type="default" r:id="rId12"/>
      <w:headerReference w:type="first" r:id="rId13"/>
      <w:footerReference w:type="first" r:id="rId14"/>
      <w:pgSz w:w="11906" w:h="16838"/>
      <w:pgMar w:top="1417" w:right="1416" w:bottom="1417" w:left="1417" w:header="1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40329" w14:textId="77777777" w:rsidR="00675993" w:rsidRDefault="00675993" w:rsidP="00F13C1A">
      <w:pPr>
        <w:spacing w:after="0" w:line="240" w:lineRule="auto"/>
      </w:pPr>
      <w:r>
        <w:separator/>
      </w:r>
    </w:p>
  </w:endnote>
  <w:endnote w:type="continuationSeparator" w:id="0">
    <w:p w14:paraId="084FC12C" w14:textId="77777777" w:rsidR="00675993" w:rsidRDefault="00675993" w:rsidP="00F1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EE"/>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15174"/>
      <w:docPartObj>
        <w:docPartGallery w:val="Page Numbers (Bottom of Page)"/>
        <w:docPartUnique/>
      </w:docPartObj>
    </w:sdtPr>
    <w:sdtEndPr>
      <w:rPr>
        <w:rFonts w:ascii="Times New Roman" w:hAnsi="Times New Roman" w:cs="Times New Roman"/>
        <w:b/>
        <w:color w:val="7C2529"/>
        <w:sz w:val="8"/>
        <w:szCs w:val="20"/>
      </w:rPr>
    </w:sdtEndPr>
    <w:sdtContent>
      <w:p w14:paraId="54ADEC72" w14:textId="77777777" w:rsidR="00637E43" w:rsidRPr="00CC503C" w:rsidRDefault="000B6993" w:rsidP="0041735A">
        <w:pPr>
          <w:pStyle w:val="Stopka"/>
          <w:ind w:left="-1036"/>
          <w:rPr>
            <w:rFonts w:ascii="Lato" w:hAnsi="Lato" w:cs="Lato"/>
            <w:bCs/>
            <w:color w:val="05122E"/>
            <w:sz w:val="18"/>
            <w:szCs w:val="18"/>
          </w:rPr>
        </w:pPr>
        <w:r w:rsidRPr="00CC503C">
          <w:rPr>
            <w:rFonts w:ascii="Lato" w:hAnsi="Lato" w:cs="Lato"/>
            <w:bCs/>
            <w:color w:val="05122E"/>
            <w:sz w:val="18"/>
            <w:szCs w:val="18"/>
          </w:rPr>
          <w:fldChar w:fldCharType="begin"/>
        </w:r>
        <w:r w:rsidRPr="00CC503C">
          <w:rPr>
            <w:rFonts w:ascii="Lato" w:hAnsi="Lato" w:cs="Lato"/>
            <w:bCs/>
            <w:color w:val="05122E"/>
            <w:sz w:val="18"/>
            <w:szCs w:val="18"/>
          </w:rPr>
          <w:instrText>PAGE   \* MERGEFORMAT</w:instrText>
        </w:r>
        <w:r w:rsidRPr="00CC503C">
          <w:rPr>
            <w:rFonts w:ascii="Lato" w:hAnsi="Lato" w:cs="Lato"/>
            <w:bCs/>
            <w:color w:val="05122E"/>
            <w:sz w:val="18"/>
            <w:szCs w:val="18"/>
          </w:rPr>
          <w:fldChar w:fldCharType="separate"/>
        </w:r>
        <w:r w:rsidR="00D57EDF" w:rsidRPr="00CC503C">
          <w:rPr>
            <w:rFonts w:ascii="Lato" w:hAnsi="Lato" w:cs="Lato"/>
            <w:bCs/>
            <w:noProof/>
            <w:color w:val="05122E"/>
            <w:sz w:val="18"/>
            <w:szCs w:val="18"/>
          </w:rPr>
          <w:t>4</w:t>
        </w:r>
        <w:r w:rsidRPr="00CC503C">
          <w:rPr>
            <w:rFonts w:ascii="Lato" w:hAnsi="Lato" w:cs="Lato"/>
            <w:bCs/>
            <w:color w:val="05122E"/>
            <w:sz w:val="18"/>
            <w:szCs w:val="18"/>
          </w:rPr>
          <w:fldChar w:fldCharType="end"/>
        </w:r>
      </w:p>
      <w:p w14:paraId="2F54AE07" w14:textId="411793F4" w:rsidR="000B6993" w:rsidRPr="0041735A" w:rsidRDefault="00CC503C" w:rsidP="0041735A">
        <w:pPr>
          <w:pStyle w:val="Stopka"/>
          <w:ind w:left="-1036"/>
          <w:rPr>
            <w:rFonts w:ascii="Times New Roman" w:hAnsi="Times New Roman" w:cs="Times New Roman"/>
            <w:b/>
            <w:color w:val="7C2529"/>
            <w:sz w:val="8"/>
            <w:szCs w:val="20"/>
          </w:rPr>
        </w:pPr>
        <w:r>
          <w:rPr>
            <w:rFonts w:ascii="Times New Roman" w:hAnsi="Times New Roman" w:cs="Times New Roman"/>
            <w:b/>
            <w:noProof/>
            <w:color w:val="7C2529"/>
            <w:sz w:val="8"/>
            <w:szCs w:val="20"/>
          </w:rPr>
          <w:drawing>
            <wp:inline distT="0" distB="0" distL="0" distR="0" wp14:anchorId="01675EFE" wp14:editId="6EE66CF2">
              <wp:extent cx="890018" cy="2438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KP Kancelaria RP papier firmowy.png"/>
                      <pic:cNvPicPr/>
                    </pic:nvPicPr>
                    <pic:blipFill>
                      <a:blip r:embed="rId1">
                        <a:extLst>
                          <a:ext uri="{28A0092B-C50C-407E-A947-70E740481C1C}">
                            <a14:useLocalDpi xmlns:a14="http://schemas.microsoft.com/office/drawing/2010/main" val="0"/>
                          </a:ext>
                        </a:extLst>
                      </a:blip>
                      <a:stretch>
                        <a:fillRect/>
                      </a:stretch>
                    </pic:blipFill>
                    <pic:spPr>
                      <a:xfrm>
                        <a:off x="0" y="0"/>
                        <a:ext cx="890018" cy="24384"/>
                      </a:xfrm>
                      <a:prstGeom prst="rect">
                        <a:avLst/>
                      </a:prstGeom>
                    </pic:spPr>
                  </pic:pic>
                </a:graphicData>
              </a:graphic>
            </wp:inline>
          </w:drawing>
        </w:r>
      </w:p>
    </w:sdtContent>
  </w:sdt>
  <w:p w14:paraId="5EA50980" w14:textId="77777777" w:rsidR="00637E43" w:rsidRPr="0041735A" w:rsidRDefault="00637E43">
    <w:pPr>
      <w:pStyle w:val="Stopka"/>
      <w:rPr>
        <w:rFonts w:ascii="Times New Roman" w:hAnsi="Times New Roman" w:cs="Times New Roman"/>
        <w:b/>
        <w:color w:val="7C2529"/>
        <w:sz w:val="2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noProof/>
        <w:color w:val="7C2529"/>
        <w:sz w:val="20"/>
        <w:szCs w:val="20"/>
      </w:rPr>
      <w:id w:val="-234630512"/>
      <w:docPartObj>
        <w:docPartGallery w:val="Page Numbers (Bottom of Page)"/>
        <w:docPartUnique/>
      </w:docPartObj>
    </w:sdtPr>
    <w:sdtEndPr>
      <w:rPr>
        <w:noProof w:val="0"/>
        <w:sz w:val="32"/>
      </w:rPr>
    </w:sdtEndPr>
    <w:sdtContent>
      <w:p w14:paraId="1539F360" w14:textId="77777777" w:rsidR="004409D1" w:rsidRPr="00CC503C" w:rsidRDefault="004409D1" w:rsidP="0041735A">
        <w:pPr>
          <w:pStyle w:val="Stopka"/>
          <w:tabs>
            <w:tab w:val="clear" w:pos="9072"/>
          </w:tabs>
          <w:ind w:left="-1134" w:right="-1048"/>
          <w:jc w:val="right"/>
          <w:rPr>
            <w:rFonts w:ascii="Lato" w:hAnsi="Lato" w:cs="Lato"/>
            <w:bCs/>
            <w:noProof/>
            <w:color w:val="05122E"/>
            <w:sz w:val="18"/>
            <w:szCs w:val="18"/>
          </w:rPr>
        </w:pPr>
        <w:r w:rsidRPr="00CC503C">
          <w:rPr>
            <w:rFonts w:ascii="Lato" w:hAnsi="Lato" w:cs="Lato"/>
            <w:bCs/>
            <w:noProof/>
            <w:color w:val="05122E"/>
            <w:sz w:val="18"/>
            <w:szCs w:val="18"/>
          </w:rPr>
          <w:fldChar w:fldCharType="begin"/>
        </w:r>
        <w:r w:rsidRPr="00CC503C">
          <w:rPr>
            <w:rFonts w:ascii="Lato" w:hAnsi="Lato" w:cs="Lato"/>
            <w:bCs/>
            <w:noProof/>
            <w:color w:val="05122E"/>
            <w:sz w:val="18"/>
            <w:szCs w:val="18"/>
          </w:rPr>
          <w:instrText>PAGE   \* MERGEFORMAT</w:instrText>
        </w:r>
        <w:r w:rsidRPr="00CC503C">
          <w:rPr>
            <w:rFonts w:ascii="Lato" w:hAnsi="Lato" w:cs="Lato"/>
            <w:bCs/>
            <w:noProof/>
            <w:color w:val="05122E"/>
            <w:sz w:val="18"/>
            <w:szCs w:val="18"/>
          </w:rPr>
          <w:fldChar w:fldCharType="separate"/>
        </w:r>
        <w:r w:rsidR="00D57EDF" w:rsidRPr="00CC503C">
          <w:rPr>
            <w:rFonts w:ascii="Lato" w:hAnsi="Lato" w:cs="Lato"/>
            <w:bCs/>
            <w:noProof/>
            <w:color w:val="05122E"/>
            <w:sz w:val="18"/>
            <w:szCs w:val="18"/>
          </w:rPr>
          <w:t>5</w:t>
        </w:r>
        <w:r w:rsidRPr="00CC503C">
          <w:rPr>
            <w:rFonts w:ascii="Lato" w:hAnsi="Lato" w:cs="Lato"/>
            <w:bCs/>
            <w:noProof/>
            <w:color w:val="05122E"/>
            <w:sz w:val="18"/>
            <w:szCs w:val="18"/>
          </w:rPr>
          <w:fldChar w:fldCharType="end"/>
        </w:r>
      </w:p>
      <w:p w14:paraId="6B3A667D" w14:textId="6D1EAF9B" w:rsidR="004409D1" w:rsidRPr="0041735A" w:rsidRDefault="00CC503C" w:rsidP="0041735A">
        <w:pPr>
          <w:pStyle w:val="Stopka"/>
          <w:tabs>
            <w:tab w:val="clear" w:pos="9072"/>
          </w:tabs>
          <w:ind w:left="-1134" w:right="-1048"/>
          <w:jc w:val="right"/>
          <w:rPr>
            <w:rFonts w:ascii="Times New Roman" w:hAnsi="Times New Roman" w:cs="Times New Roman"/>
            <w:b/>
            <w:noProof/>
            <w:color w:val="7C2529"/>
            <w:sz w:val="8"/>
            <w:szCs w:val="8"/>
            <w:lang w:eastAsia="pl-PL"/>
          </w:rPr>
        </w:pPr>
        <w:r>
          <w:rPr>
            <w:rFonts w:ascii="Times New Roman" w:hAnsi="Times New Roman" w:cs="Times New Roman"/>
            <w:b/>
            <w:noProof/>
            <w:color w:val="7C2529"/>
            <w:sz w:val="8"/>
            <w:szCs w:val="8"/>
            <w:lang w:eastAsia="pl-PL"/>
          </w:rPr>
          <w:drawing>
            <wp:inline distT="0" distB="0" distL="0" distR="0" wp14:anchorId="04AC8C94" wp14:editId="65D0834D">
              <wp:extent cx="890018" cy="2438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WKP Kancelaria RP papier firmowy.png"/>
                      <pic:cNvPicPr/>
                    </pic:nvPicPr>
                    <pic:blipFill>
                      <a:blip r:embed="rId1">
                        <a:extLst>
                          <a:ext uri="{28A0092B-C50C-407E-A947-70E740481C1C}">
                            <a14:useLocalDpi xmlns:a14="http://schemas.microsoft.com/office/drawing/2010/main" val="0"/>
                          </a:ext>
                        </a:extLst>
                      </a:blip>
                      <a:stretch>
                        <a:fillRect/>
                      </a:stretch>
                    </pic:blipFill>
                    <pic:spPr>
                      <a:xfrm>
                        <a:off x="0" y="0"/>
                        <a:ext cx="890018" cy="24384"/>
                      </a:xfrm>
                      <a:prstGeom prst="rect">
                        <a:avLst/>
                      </a:prstGeom>
                    </pic:spPr>
                  </pic:pic>
                </a:graphicData>
              </a:graphic>
            </wp:inline>
          </w:drawing>
        </w:r>
      </w:p>
      <w:p w14:paraId="3A7AC797" w14:textId="22ED36BD" w:rsidR="004409D1" w:rsidRPr="0041735A" w:rsidRDefault="00675993" w:rsidP="0041735A">
        <w:pPr>
          <w:pStyle w:val="Stopka"/>
          <w:tabs>
            <w:tab w:val="clear" w:pos="9072"/>
          </w:tabs>
          <w:ind w:right="-1048"/>
          <w:jc w:val="right"/>
          <w:rPr>
            <w:rFonts w:ascii="Times New Roman" w:hAnsi="Times New Roman" w:cs="Times New Roman"/>
            <w:b/>
            <w:color w:val="7C2529"/>
            <w:sz w:val="28"/>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5BE9" w14:textId="6D7B99DB" w:rsidR="00F13C1A" w:rsidRDefault="008248BD" w:rsidP="00460BAF">
    <w:pPr>
      <w:pStyle w:val="Stopka"/>
      <w:ind w:left="-1417"/>
      <w:jc w:val="center"/>
    </w:pPr>
    <w:r>
      <w:rPr>
        <w:noProof/>
      </w:rPr>
      <w:drawing>
        <wp:inline distT="0" distB="0" distL="0" distR="0" wp14:anchorId="39CA67F6" wp14:editId="08893EF8">
          <wp:extent cx="7560000" cy="900734"/>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WKP Kancelaria RP papier firmowy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00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1F73A" w14:textId="77777777" w:rsidR="00675993" w:rsidRDefault="00675993" w:rsidP="00F13C1A">
      <w:pPr>
        <w:spacing w:after="0" w:line="240" w:lineRule="auto"/>
      </w:pPr>
      <w:r>
        <w:separator/>
      </w:r>
    </w:p>
  </w:footnote>
  <w:footnote w:type="continuationSeparator" w:id="0">
    <w:p w14:paraId="6AEE763D" w14:textId="77777777" w:rsidR="00675993" w:rsidRDefault="00675993" w:rsidP="00F13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F676" w14:textId="77777777" w:rsidR="00CC503C" w:rsidRDefault="00CC50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9746" w14:textId="77777777" w:rsidR="00CC503C" w:rsidRDefault="00CC50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B9718" w14:textId="4247C57A" w:rsidR="00460BAF" w:rsidRDefault="00CC503C" w:rsidP="00460BAF">
    <w:pPr>
      <w:pStyle w:val="Nagwek"/>
      <w:ind w:left="-1417"/>
    </w:pPr>
    <w:r>
      <w:rPr>
        <w:noProof/>
      </w:rPr>
      <w:drawing>
        <wp:inline distT="0" distB="0" distL="0" distR="0" wp14:anchorId="566FA7C5" wp14:editId="6BDB4459">
          <wp:extent cx="7560000" cy="1142374"/>
          <wp:effectExtent l="0" t="0" r="317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WKP Kancelaria RP papier firmowy 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42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77C2F"/>
    <w:multiLevelType w:val="hybridMultilevel"/>
    <w:tmpl w:val="C204B25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1A"/>
    <w:rsid w:val="000926C8"/>
    <w:rsid w:val="000B6993"/>
    <w:rsid w:val="0011011B"/>
    <w:rsid w:val="0014766B"/>
    <w:rsid w:val="00330B68"/>
    <w:rsid w:val="00352B6D"/>
    <w:rsid w:val="0041735A"/>
    <w:rsid w:val="004409D1"/>
    <w:rsid w:val="00460BAF"/>
    <w:rsid w:val="004D386C"/>
    <w:rsid w:val="0056383E"/>
    <w:rsid w:val="0059001F"/>
    <w:rsid w:val="00637E43"/>
    <w:rsid w:val="00675993"/>
    <w:rsid w:val="006E5E95"/>
    <w:rsid w:val="007335F6"/>
    <w:rsid w:val="008248BD"/>
    <w:rsid w:val="00835BD2"/>
    <w:rsid w:val="00923B30"/>
    <w:rsid w:val="00996CC2"/>
    <w:rsid w:val="009D11B4"/>
    <w:rsid w:val="00BD7410"/>
    <w:rsid w:val="00BE16FC"/>
    <w:rsid w:val="00C22EF2"/>
    <w:rsid w:val="00C917C2"/>
    <w:rsid w:val="00CC503C"/>
    <w:rsid w:val="00D51D62"/>
    <w:rsid w:val="00D57EDF"/>
    <w:rsid w:val="00E5509A"/>
    <w:rsid w:val="00F02E5E"/>
    <w:rsid w:val="00F13C1A"/>
    <w:rsid w:val="00FA44DE"/>
    <w:rsid w:val="00FE5245"/>
    <w:rsid w:val="00FE5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85012"/>
  <w15:docId w15:val="{CB234CC6-ED85-4B20-A699-6B54B1BD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0B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3C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3C1A"/>
  </w:style>
  <w:style w:type="paragraph" w:styleId="Stopka">
    <w:name w:val="footer"/>
    <w:basedOn w:val="Normalny"/>
    <w:link w:val="StopkaZnak"/>
    <w:uiPriority w:val="99"/>
    <w:unhideWhenUsed/>
    <w:rsid w:val="00F13C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C1A"/>
  </w:style>
  <w:style w:type="paragraph" w:styleId="Tekstdymka">
    <w:name w:val="Balloon Text"/>
    <w:basedOn w:val="Normalny"/>
    <w:link w:val="TekstdymkaZnak"/>
    <w:uiPriority w:val="99"/>
    <w:semiHidden/>
    <w:unhideWhenUsed/>
    <w:rsid w:val="00460B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0BAF"/>
    <w:rPr>
      <w:rFonts w:ascii="Tahoma" w:hAnsi="Tahoma" w:cs="Tahoma"/>
      <w:sz w:val="16"/>
      <w:szCs w:val="16"/>
    </w:rPr>
  </w:style>
  <w:style w:type="paragraph" w:styleId="Akapitzlist">
    <w:name w:val="List Paragraph"/>
    <w:basedOn w:val="Normalny"/>
    <w:uiPriority w:val="34"/>
    <w:qFormat/>
    <w:rsid w:val="00F02E5E"/>
    <w:pPr>
      <w:ind w:left="720"/>
      <w:contextualSpacing/>
    </w:pPr>
  </w:style>
  <w:style w:type="character" w:styleId="Hipercze">
    <w:name w:val="Hyperlink"/>
    <w:basedOn w:val="Domylnaczcionkaakapitu"/>
    <w:uiPriority w:val="99"/>
    <w:unhideWhenUsed/>
    <w:rsid w:val="00F02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p.pwn.pl/slowniki/organizowani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363F-3A36-6D40-A054-ECEF5543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1743</Words>
  <Characters>10460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Szablon PWG</vt:lpstr>
    </vt:vector>
  </TitlesOfParts>
  <Company>Moform</Company>
  <LinksUpToDate>false</LinksUpToDate>
  <CharactersWithSpaces>12179</CharactersWithSpaces>
  <SharedDoc>false</SharedDoc>
  <HyperlinkBase>www.moform.pl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PWG</dc:title>
  <dc:creator>Małgorzata Puszczało</dc:creator>
  <cp:lastModifiedBy>Natalia Stefańska</cp:lastModifiedBy>
  <cp:revision>2</cp:revision>
  <cp:lastPrinted>2016-05-03T12:28:00Z</cp:lastPrinted>
  <dcterms:created xsi:type="dcterms:W3CDTF">2020-04-27T12:37:00Z</dcterms:created>
  <dcterms:modified xsi:type="dcterms:W3CDTF">2020-04-27T12:37:00Z</dcterms:modified>
</cp:coreProperties>
</file>